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1F4E" w14:textId="2707F53B" w:rsidR="001E4EFF" w:rsidRPr="00704709" w:rsidRDefault="001E4EFF" w:rsidP="001E4EFF">
      <w:pPr>
        <w:rPr>
          <w:rFonts w:asciiTheme="minorBidi" w:hAnsiTheme="minorBidi"/>
          <w:sz w:val="20"/>
          <w:szCs w:val="20"/>
          <w:lang w:val="es-ES"/>
        </w:rPr>
      </w:pPr>
      <w:r w:rsidRPr="00704709">
        <w:rPr>
          <w:rFonts w:asciiTheme="minorBidi" w:hAnsiTheme="minorBidi"/>
          <w:sz w:val="20"/>
          <w:szCs w:val="20"/>
          <w:lang w:val="es-ES"/>
        </w:rPr>
        <w:t xml:space="preserve">Nombre: @NOMBRE@ </w:t>
      </w:r>
      <w:r w:rsidR="00930855" w:rsidRPr="00704709">
        <w:rPr>
          <w:rFonts w:asciiTheme="minorBidi" w:hAnsiTheme="minorBidi"/>
          <w:sz w:val="20"/>
          <w:szCs w:val="20"/>
          <w:lang w:val="es-ES"/>
        </w:rPr>
        <w:t xml:space="preserve">                                                                         F</w:t>
      </w:r>
      <w:r w:rsidRPr="00704709">
        <w:rPr>
          <w:rFonts w:asciiTheme="minorBidi" w:hAnsiTheme="minorBidi"/>
          <w:sz w:val="20"/>
          <w:szCs w:val="20"/>
          <w:lang w:val="es-ES"/>
        </w:rPr>
        <w:t>echa de emisión:</w:t>
      </w:r>
    </w:p>
    <w:p w14:paraId="0E02B55A" w14:textId="77777777" w:rsidR="001E4EFF" w:rsidRPr="00704709" w:rsidRDefault="001E4EFF" w:rsidP="001E4EFF">
      <w:pPr>
        <w:rPr>
          <w:rFonts w:asciiTheme="minorBidi" w:hAnsiTheme="minorBidi"/>
          <w:sz w:val="20"/>
          <w:szCs w:val="20"/>
          <w:lang w:val="es-ES"/>
        </w:rPr>
      </w:pPr>
      <w:r w:rsidRPr="00704709">
        <w:rPr>
          <w:rFonts w:asciiTheme="minorBidi" w:hAnsiTheme="minorBidi"/>
          <w:sz w:val="20"/>
          <w:szCs w:val="20"/>
          <w:lang w:val="es-ES"/>
        </w:rPr>
        <w:t>Fecha de nacimiento: @Fecha de nacimiento@</w:t>
      </w:r>
    </w:p>
    <w:p w14:paraId="18F3F226" w14:textId="77777777" w:rsidR="001E4EFF" w:rsidRPr="00704709" w:rsidRDefault="001E4EFF" w:rsidP="001E4EFF">
      <w:pPr>
        <w:rPr>
          <w:rFonts w:asciiTheme="minorBidi" w:hAnsiTheme="minorBidi"/>
          <w:sz w:val="20"/>
          <w:szCs w:val="20"/>
          <w:lang w:val="es-ES"/>
        </w:rPr>
      </w:pPr>
    </w:p>
    <w:p w14:paraId="619D54F9" w14:textId="77777777" w:rsidR="001E4EFF" w:rsidRPr="00704709" w:rsidRDefault="001E4EFF" w:rsidP="00930855">
      <w:pPr>
        <w:jc w:val="center"/>
        <w:rPr>
          <w:rFonts w:asciiTheme="minorBidi" w:hAnsiTheme="minorBidi"/>
          <w:b/>
          <w:bCs/>
          <w:sz w:val="20"/>
          <w:szCs w:val="20"/>
          <w:lang w:val="es-ES"/>
        </w:rPr>
      </w:pPr>
      <w:r w:rsidRPr="00704709">
        <w:rPr>
          <w:rFonts w:asciiTheme="minorBidi" w:hAnsiTheme="minorBidi"/>
          <w:b/>
          <w:bCs/>
          <w:sz w:val="20"/>
          <w:szCs w:val="20"/>
          <w:lang w:val="es-ES"/>
        </w:rPr>
        <w:t>CARTA DE EMERGENCIA</w:t>
      </w:r>
    </w:p>
    <w:p w14:paraId="6BD1C4FF" w14:textId="340E1EEC" w:rsidR="001E4EFF" w:rsidRPr="00704709" w:rsidRDefault="001E4EFF" w:rsidP="00E30917">
      <w:pPr>
        <w:jc w:val="center"/>
        <w:rPr>
          <w:rFonts w:asciiTheme="minorBidi" w:hAnsiTheme="minorBidi"/>
          <w:b/>
          <w:bCs/>
          <w:sz w:val="20"/>
          <w:szCs w:val="20"/>
          <w:lang w:val="es-ES"/>
        </w:rPr>
      </w:pPr>
      <w:r w:rsidRPr="00704709">
        <w:rPr>
          <w:rFonts w:asciiTheme="minorBidi" w:hAnsiTheme="minorBidi"/>
          <w:b/>
          <w:bCs/>
          <w:sz w:val="20"/>
          <w:szCs w:val="20"/>
          <w:lang w:val="es-ES"/>
        </w:rPr>
        <w:t>Trastorno por deficiencia de TANGO2 (</w:t>
      </w:r>
      <w:r w:rsidR="00BC2448" w:rsidRPr="00704709">
        <w:rPr>
          <w:rFonts w:asciiTheme="minorBidi" w:hAnsiTheme="minorBidi"/>
          <w:b/>
          <w:bCs/>
          <w:sz w:val="20"/>
          <w:szCs w:val="20"/>
          <w:lang w:val="es-ES"/>
        </w:rPr>
        <w:t>Síndrome de encefalopatía-arritmia metabólica asociado al gen TANGO2</w:t>
      </w:r>
      <w:r w:rsidRPr="00704709">
        <w:rPr>
          <w:rFonts w:asciiTheme="minorBidi" w:hAnsiTheme="minorBidi"/>
          <w:b/>
          <w:bCs/>
          <w:sz w:val="20"/>
          <w:szCs w:val="20"/>
          <w:lang w:val="es-ES"/>
        </w:rPr>
        <w:t>)</w:t>
      </w:r>
    </w:p>
    <w:p w14:paraId="63EACD07" w14:textId="77777777" w:rsidR="00BC2448" w:rsidRPr="00704709" w:rsidRDefault="00BC2448" w:rsidP="00E30917">
      <w:pPr>
        <w:jc w:val="center"/>
        <w:rPr>
          <w:rFonts w:asciiTheme="minorBidi" w:hAnsiTheme="minorBidi"/>
          <w:sz w:val="20"/>
          <w:szCs w:val="20"/>
          <w:lang w:val="es-ES"/>
        </w:rPr>
      </w:pPr>
    </w:p>
    <w:p w14:paraId="664FFA10" w14:textId="66CE3B95" w:rsidR="002B29EA" w:rsidRPr="00704709" w:rsidRDefault="001E4EFF" w:rsidP="002137C4">
      <w:pPr>
        <w:rPr>
          <w:rFonts w:asciiTheme="minorBidi" w:hAnsiTheme="minorBidi"/>
          <w:sz w:val="20"/>
          <w:szCs w:val="20"/>
          <w:lang w:val="es-ES"/>
        </w:rPr>
      </w:pPr>
      <w:r w:rsidRPr="00704709">
        <w:rPr>
          <w:rFonts w:asciiTheme="minorBidi" w:hAnsiTheme="minorBidi"/>
          <w:sz w:val="20"/>
          <w:szCs w:val="20"/>
          <w:lang w:val="es-ES"/>
        </w:rPr>
        <w:t xml:space="preserve">[AÑADIR NOMBRE] </w:t>
      </w:r>
      <w:r w:rsidR="0005743C" w:rsidRPr="00704709">
        <w:rPr>
          <w:rFonts w:asciiTheme="minorBidi" w:hAnsiTheme="minorBidi"/>
          <w:sz w:val="20"/>
          <w:szCs w:val="20"/>
          <w:lang w:val="es-ES"/>
        </w:rPr>
        <w:t>de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 [AÑADIR EDAD] [AÑADIR GÉNERO] </w:t>
      </w:r>
      <w:r w:rsidR="00086D02" w:rsidRPr="00704709">
        <w:rPr>
          <w:rFonts w:asciiTheme="minorBidi" w:hAnsiTheme="minorBidi"/>
          <w:sz w:val="20"/>
          <w:szCs w:val="20"/>
          <w:lang w:val="es-ES"/>
        </w:rPr>
        <w:t>tiene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 trastorno por deficiencia de TANGO2. Durante momentos de ayuno y estrés metabólico, como enfermedades, fiebre/infecciones o períodos de disminución de alimentación o ayuno prolongado, [AÑADIR NOMBRE] puede desarrollar una crisis metabólica con o sin crisis cardíaca.</w:t>
      </w:r>
    </w:p>
    <w:p w14:paraId="62FABE84" w14:textId="77777777" w:rsidR="002B29EA" w:rsidRPr="00F71497" w:rsidRDefault="002B29EA" w:rsidP="001E4EFF">
      <w:pPr>
        <w:rPr>
          <w:rFonts w:asciiTheme="minorBidi" w:hAnsiTheme="minorBidi"/>
          <w:sz w:val="20"/>
          <w:szCs w:val="20"/>
          <w:lang w:val="es-ES"/>
        </w:rPr>
      </w:pPr>
    </w:p>
    <w:p w14:paraId="59C98171" w14:textId="77777777" w:rsidR="001E4EFF" w:rsidRPr="00704709" w:rsidRDefault="001E4EFF" w:rsidP="001E4EFF">
      <w:pPr>
        <w:rPr>
          <w:rFonts w:asciiTheme="minorBidi" w:hAnsiTheme="minorBidi"/>
          <w:sz w:val="20"/>
          <w:szCs w:val="20"/>
          <w:u w:val="single"/>
          <w:lang w:val="es-ES"/>
        </w:rPr>
      </w:pPr>
      <w:r w:rsidRPr="00704709">
        <w:rPr>
          <w:rFonts w:asciiTheme="minorBidi" w:hAnsiTheme="minorBidi"/>
          <w:sz w:val="20"/>
          <w:szCs w:val="20"/>
          <w:u w:val="single"/>
          <w:lang w:val="es-ES"/>
        </w:rPr>
        <w:t>Definiciones:</w:t>
      </w:r>
    </w:p>
    <w:p w14:paraId="02C2639D" w14:textId="11135B05" w:rsidR="0069266D" w:rsidRPr="00A941D9" w:rsidRDefault="001E4EFF" w:rsidP="00A941D9">
      <w:pPr>
        <w:rPr>
          <w:rFonts w:asciiTheme="minorBidi" w:hAnsiTheme="minorBidi"/>
          <w:color w:val="000000" w:themeColor="text1"/>
          <w:sz w:val="20"/>
          <w:szCs w:val="20"/>
          <w:lang w:val="es-ES"/>
        </w:rPr>
      </w:pPr>
      <w:r w:rsidRPr="00704709">
        <w:rPr>
          <w:rFonts w:asciiTheme="minorBidi" w:hAnsiTheme="minorBidi"/>
          <w:b/>
          <w:bCs/>
          <w:sz w:val="20"/>
          <w:szCs w:val="20"/>
          <w:lang w:val="es-ES"/>
        </w:rPr>
        <w:t>Crisis metabólicas: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 </w:t>
      </w:r>
      <w:r w:rsidR="00E901D3" w:rsidRPr="00704709">
        <w:rPr>
          <w:rFonts w:asciiTheme="minorBidi" w:hAnsiTheme="minorBidi"/>
          <w:sz w:val="20"/>
          <w:szCs w:val="20"/>
          <w:lang w:val="es-ES"/>
        </w:rPr>
        <w:t>E</w:t>
      </w:r>
      <w:r w:rsidRPr="00704709">
        <w:rPr>
          <w:rFonts w:asciiTheme="minorBidi" w:hAnsiTheme="minorBidi"/>
          <w:sz w:val="20"/>
          <w:szCs w:val="20"/>
          <w:lang w:val="es-ES"/>
        </w:rPr>
        <w:t>ventos episódicos desencadenados por estrés metabólico asociado con CK elevada (</w:t>
      </w:r>
      <w:r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rabdomiólisis) y QTc prolongado en el ECG. También se puede ver un patrón de Brugada tipo 1 en el ECG (ver imagen a continuación). En algunos pacientes puede ocurrir hipoglucemia severa. Los síntomas </w:t>
      </w:r>
      <w:r w:rsidR="00D103A5"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pueden ser </w:t>
      </w:r>
      <w:r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nuevos o empeoramiento de los síntomas de referencia. Estos incluyen debilidad, dificultad para mantener </w:t>
      </w:r>
      <w:r w:rsidR="00245CB8"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el control </w:t>
      </w:r>
      <w:r w:rsidR="00E92CEE"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de la </w:t>
      </w:r>
      <w:r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>cabeza</w:t>
      </w:r>
      <w:r w:rsidR="00E92CEE"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 </w:t>
      </w:r>
      <w:r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>(</w:t>
      </w:r>
      <w:r w:rsidR="00EA42F0"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>control pobre de la posición de la cabeza</w:t>
      </w:r>
      <w:r w:rsidRPr="00704709">
        <w:rPr>
          <w:rFonts w:asciiTheme="minorBidi" w:hAnsiTheme="minorBidi"/>
          <w:color w:val="000000" w:themeColor="text1"/>
          <w:sz w:val="20"/>
          <w:szCs w:val="20"/>
          <w:lang w:val="es-ES"/>
        </w:rPr>
        <w:t>), inclinación del cuerpo, movimientos anormales, dificultad para caminar o mantener el equilibrio (caídas/ataxia), dolor muscular, dificultad para hablar, babeo, mirada desconjugada/exotropía, convulsiones y letargo/somnolencia.</w:t>
      </w:r>
    </w:p>
    <w:p w14:paraId="2D3E209D" w14:textId="556D52C4" w:rsidR="00704709" w:rsidRPr="007155DC" w:rsidRDefault="001E4EFF" w:rsidP="007155DC">
      <w:pPr>
        <w:spacing w:before="120"/>
        <w:rPr>
          <w:rFonts w:asciiTheme="minorBidi" w:hAnsiTheme="minorBidi"/>
          <w:sz w:val="20"/>
          <w:szCs w:val="20"/>
          <w:lang w:val="es-ES"/>
        </w:rPr>
      </w:pPr>
      <w:r w:rsidRPr="00704709">
        <w:rPr>
          <w:rFonts w:asciiTheme="minorBidi" w:hAnsiTheme="minorBidi"/>
          <w:b/>
          <w:bCs/>
          <w:sz w:val="20"/>
          <w:szCs w:val="20"/>
          <w:lang w:val="es-ES"/>
        </w:rPr>
        <w:t>Crisis cardíacas: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 Las crisis cardíacas ocurren solo durante una crisis metabólica y conllevan el desarrollo de arritmias (contracciones ventriculares prematuras (PVC), taquicardia ventricular (TV), torsade de pointes) o disfunción sistólica/miocardiopatía (es decir, nueva insuficiencia cardíaca). Tanto las arritmias como la disfunción cardíaca se resuelven una vez que se resuelve la crisis metabólica.</w:t>
      </w:r>
    </w:p>
    <w:p w14:paraId="792C952A" w14:textId="77777777" w:rsidR="001E4EFF" w:rsidRPr="00704709" w:rsidRDefault="001E4EFF" w:rsidP="007155DC">
      <w:pPr>
        <w:spacing w:before="120"/>
        <w:rPr>
          <w:rFonts w:asciiTheme="minorBidi" w:hAnsiTheme="minorBidi"/>
          <w:sz w:val="20"/>
          <w:szCs w:val="20"/>
          <w:lang w:val="es-ES"/>
        </w:rPr>
      </w:pPr>
      <w:r w:rsidRPr="00704709">
        <w:rPr>
          <w:rFonts w:asciiTheme="minorBidi" w:hAnsiTheme="minorBidi"/>
          <w:sz w:val="20"/>
          <w:szCs w:val="20"/>
          <w:lang w:val="es-ES"/>
        </w:rPr>
        <w:t>Las siguientes son complicaciones AGUDAS que pueden ocurrir durante una crisis metabólica/cardíaca:</w:t>
      </w:r>
    </w:p>
    <w:p w14:paraId="3E63590E" w14:textId="3BE327C4" w:rsidR="001E4EFF" w:rsidRPr="00A56050" w:rsidRDefault="001E4EFF" w:rsidP="00A56050">
      <w:pPr>
        <w:pStyle w:val="ListParagraph"/>
        <w:numPr>
          <w:ilvl w:val="0"/>
          <w:numId w:val="1"/>
        </w:numPr>
        <w:spacing w:after="120"/>
        <w:ind w:left="720"/>
        <w:rPr>
          <w:rFonts w:asciiTheme="minorBidi" w:hAnsiTheme="minorBidi"/>
          <w:b/>
          <w:bCs/>
          <w:i/>
          <w:iCs/>
          <w:sz w:val="20"/>
          <w:szCs w:val="20"/>
          <w:lang w:val="es-ES"/>
        </w:rPr>
      </w:pPr>
      <w:r w:rsidRPr="00A56050">
        <w:rPr>
          <w:rFonts w:asciiTheme="minorBidi" w:hAnsiTheme="minorBidi"/>
          <w:b/>
          <w:bCs/>
          <w:i/>
          <w:iCs/>
          <w:sz w:val="20"/>
          <w:szCs w:val="20"/>
          <w:lang w:val="es-ES"/>
        </w:rPr>
        <w:t xml:space="preserve">Arritmias cardíacas severas y disfunción cardíaca </w:t>
      </w:r>
      <w:r w:rsidR="00F111E9">
        <w:rPr>
          <w:rFonts w:asciiTheme="minorBidi" w:hAnsiTheme="minorBidi"/>
          <w:b/>
          <w:bCs/>
          <w:i/>
          <w:iCs/>
          <w:sz w:val="20"/>
          <w:szCs w:val="20"/>
          <w:lang w:val="es-ES"/>
        </w:rPr>
        <w:t xml:space="preserve">QUE PONEN EN RIESGO </w:t>
      </w:r>
      <w:r w:rsidRPr="00A56050">
        <w:rPr>
          <w:rFonts w:asciiTheme="minorBidi" w:hAnsiTheme="minorBidi"/>
          <w:b/>
          <w:bCs/>
          <w:i/>
          <w:iCs/>
          <w:sz w:val="20"/>
          <w:szCs w:val="20"/>
          <w:lang w:val="es-ES"/>
        </w:rPr>
        <w:t xml:space="preserve">LA VIDA. </w:t>
      </w:r>
      <w:r w:rsidR="00954C5D">
        <w:rPr>
          <w:rFonts w:asciiTheme="minorBidi" w:hAnsiTheme="minorBidi"/>
          <w:b/>
          <w:bCs/>
          <w:i/>
          <w:iCs/>
          <w:sz w:val="20"/>
          <w:szCs w:val="20"/>
          <w:lang w:val="es-ES"/>
        </w:rPr>
        <w:t xml:space="preserve">Habido casos </w:t>
      </w:r>
      <w:r w:rsidR="000E1BED">
        <w:rPr>
          <w:rFonts w:asciiTheme="minorBidi" w:hAnsiTheme="minorBidi"/>
          <w:b/>
          <w:bCs/>
          <w:i/>
          <w:iCs/>
          <w:sz w:val="20"/>
          <w:szCs w:val="20"/>
          <w:lang w:val="es-ES"/>
        </w:rPr>
        <w:t>de m</w:t>
      </w:r>
      <w:r w:rsidRPr="00A56050">
        <w:rPr>
          <w:rFonts w:asciiTheme="minorBidi" w:hAnsiTheme="minorBidi"/>
          <w:b/>
          <w:bCs/>
          <w:i/>
          <w:iCs/>
          <w:sz w:val="20"/>
          <w:szCs w:val="20"/>
          <w:lang w:val="es-ES"/>
        </w:rPr>
        <w:t xml:space="preserve">uerte súbita debido a arritmias ventriculares fatales y paro cardíaco. Además, la disfunción cardíaca puede evolucionar y desarrollarse durante la crisis </w:t>
      </w:r>
      <w:r w:rsidR="00812768">
        <w:rPr>
          <w:rFonts w:asciiTheme="minorBidi" w:hAnsiTheme="minorBidi"/>
          <w:b/>
          <w:bCs/>
          <w:i/>
          <w:iCs/>
          <w:sz w:val="20"/>
          <w:szCs w:val="20"/>
          <w:lang w:val="es-ES"/>
        </w:rPr>
        <w:t>aunque</w:t>
      </w:r>
      <w:r w:rsidRPr="00A56050">
        <w:rPr>
          <w:rFonts w:asciiTheme="minorBidi" w:hAnsiTheme="minorBidi"/>
          <w:b/>
          <w:bCs/>
          <w:i/>
          <w:iCs/>
          <w:sz w:val="20"/>
          <w:szCs w:val="20"/>
          <w:lang w:val="es-ES"/>
        </w:rPr>
        <w:t xml:space="preserve"> la función sistólica es normal al ingreso.</w:t>
      </w:r>
    </w:p>
    <w:p w14:paraId="1909C40A" w14:textId="77777777" w:rsidR="00C82748" w:rsidRPr="00F71497" w:rsidRDefault="00C82748" w:rsidP="00C82748">
      <w:pPr>
        <w:pStyle w:val="ListParagraph"/>
        <w:spacing w:after="120"/>
        <w:ind w:left="1080"/>
        <w:rPr>
          <w:rFonts w:asciiTheme="minorBidi" w:hAnsiTheme="minorBidi"/>
          <w:sz w:val="20"/>
          <w:szCs w:val="20"/>
          <w:lang w:val="es-ES"/>
        </w:rPr>
      </w:pPr>
    </w:p>
    <w:p w14:paraId="045C3E0A" w14:textId="2D9C9D75" w:rsidR="001E4EFF" w:rsidRDefault="001E4EFF" w:rsidP="00A56050">
      <w:pPr>
        <w:pStyle w:val="ListParagraph"/>
        <w:numPr>
          <w:ilvl w:val="0"/>
          <w:numId w:val="1"/>
        </w:numPr>
        <w:spacing w:before="120"/>
        <w:ind w:left="720"/>
        <w:rPr>
          <w:rFonts w:asciiTheme="minorBidi" w:hAnsiTheme="minorBidi"/>
          <w:sz w:val="20"/>
          <w:szCs w:val="20"/>
          <w:lang w:val="es-ES"/>
        </w:rPr>
      </w:pPr>
      <w:r w:rsidRPr="00404B2C">
        <w:rPr>
          <w:rFonts w:asciiTheme="minorBidi" w:hAnsiTheme="minorBidi"/>
          <w:sz w:val="20"/>
          <w:szCs w:val="20"/>
          <w:lang w:val="es-ES"/>
        </w:rPr>
        <w:t xml:space="preserve">Los signos característicos de la crisis metabólica incluyen rabdomiolisis con CK elevada. Los pacientes también tienden a tener AST o ALT elevados. También se puede observar hipoglucemia, </w:t>
      </w:r>
      <w:r w:rsidR="00412EB7">
        <w:rPr>
          <w:rFonts w:asciiTheme="minorBidi" w:hAnsiTheme="minorBidi"/>
          <w:sz w:val="20"/>
          <w:szCs w:val="20"/>
          <w:lang w:val="es-ES"/>
        </w:rPr>
        <w:t xml:space="preserve">aunque no </w:t>
      </w:r>
      <w:r w:rsidR="00CF3DC9">
        <w:rPr>
          <w:rFonts w:asciiTheme="minorBidi" w:hAnsiTheme="minorBidi"/>
          <w:sz w:val="20"/>
          <w:szCs w:val="20"/>
          <w:lang w:val="es-ES"/>
        </w:rPr>
        <w:t>está</w:t>
      </w:r>
      <w:r w:rsidRPr="00404B2C">
        <w:rPr>
          <w:rFonts w:asciiTheme="minorBidi" w:hAnsiTheme="minorBidi"/>
          <w:sz w:val="20"/>
          <w:szCs w:val="20"/>
          <w:lang w:val="es-ES"/>
        </w:rPr>
        <w:t xml:space="preserve"> siempre</w:t>
      </w:r>
      <w:r w:rsidR="006101E5">
        <w:rPr>
          <w:rFonts w:asciiTheme="minorBidi" w:hAnsiTheme="minorBidi"/>
          <w:sz w:val="20"/>
          <w:szCs w:val="20"/>
          <w:lang w:val="es-ES"/>
        </w:rPr>
        <w:t xml:space="preserve"> </w:t>
      </w:r>
      <w:r w:rsidRPr="00404B2C">
        <w:rPr>
          <w:rFonts w:asciiTheme="minorBidi" w:hAnsiTheme="minorBidi"/>
          <w:sz w:val="20"/>
          <w:szCs w:val="20"/>
          <w:lang w:val="es-ES"/>
        </w:rPr>
        <w:t>presente. El tratamiento con líquidos/glucosa por vía intravenosa puede estabilizar el proceso agudo, pero no previene la crisis y el paro cardíaco.</w:t>
      </w:r>
    </w:p>
    <w:p w14:paraId="211B8D7A" w14:textId="77777777" w:rsidR="00C82748" w:rsidRPr="00404B2C" w:rsidRDefault="00C82748" w:rsidP="00A56050">
      <w:pPr>
        <w:pStyle w:val="ListParagraph"/>
        <w:spacing w:before="120"/>
        <w:ind w:hanging="360"/>
        <w:rPr>
          <w:rFonts w:asciiTheme="minorBidi" w:hAnsiTheme="minorBidi"/>
          <w:sz w:val="20"/>
          <w:szCs w:val="20"/>
          <w:lang w:val="es-ES"/>
        </w:rPr>
      </w:pPr>
    </w:p>
    <w:p w14:paraId="7788B1BE" w14:textId="3D7A70F9" w:rsidR="002A74AC" w:rsidRPr="00BD69D9" w:rsidRDefault="001E4EFF" w:rsidP="00BD69D9">
      <w:pPr>
        <w:pStyle w:val="ListParagraph"/>
        <w:numPr>
          <w:ilvl w:val="0"/>
          <w:numId w:val="1"/>
        </w:numPr>
        <w:ind w:left="720"/>
        <w:rPr>
          <w:rFonts w:asciiTheme="minorBidi" w:hAnsiTheme="minorBidi"/>
          <w:sz w:val="20"/>
          <w:szCs w:val="20"/>
          <w:lang w:val="es-ES"/>
        </w:rPr>
      </w:pPr>
      <w:r w:rsidRPr="00404B2C">
        <w:rPr>
          <w:rFonts w:asciiTheme="minorBidi" w:hAnsiTheme="minorBidi"/>
          <w:sz w:val="20"/>
          <w:szCs w:val="20"/>
          <w:lang w:val="es-ES"/>
        </w:rPr>
        <w:t>El ECG mostrará casi uniformemente evidencia de prolongación del intervalo QTc. También se puede ver un patrón de Brugada tipo 1 simultáneo (que se muestra a continuación). El patrón de Brugada suele ser intermitente y puede aparecer y desaparecer; por lo tanto, se justifica una estrecha observación de su presencia, ya que puede indicar un mayor riesgo de paro cardíaco.</w:t>
      </w:r>
    </w:p>
    <w:p w14:paraId="7AFFB7A7" w14:textId="77777777" w:rsidR="001E4EFF" w:rsidRPr="00F71497" w:rsidRDefault="001E4EFF" w:rsidP="00A56050">
      <w:pPr>
        <w:ind w:left="720" w:hanging="360"/>
        <w:rPr>
          <w:rFonts w:asciiTheme="minorBidi" w:hAnsiTheme="minorBidi"/>
          <w:sz w:val="20"/>
          <w:szCs w:val="20"/>
          <w:lang w:val="es-ES"/>
        </w:rPr>
      </w:pPr>
    </w:p>
    <w:p w14:paraId="43190C1D" w14:textId="0F071882" w:rsidR="001E4EFF" w:rsidRPr="002B5FF8" w:rsidRDefault="001E4EFF" w:rsidP="001E4EFF">
      <w:pPr>
        <w:rPr>
          <w:rFonts w:asciiTheme="minorBidi" w:hAnsiTheme="minorBidi"/>
          <w:b/>
          <w:bCs/>
          <w:sz w:val="20"/>
          <w:szCs w:val="20"/>
          <w:lang w:val="es-ES"/>
        </w:rPr>
      </w:pPr>
      <w:r w:rsidRPr="00316A0E">
        <w:rPr>
          <w:rFonts w:asciiTheme="minorBidi" w:hAnsiTheme="minorBidi"/>
          <w:b/>
          <w:bCs/>
          <w:sz w:val="20"/>
          <w:szCs w:val="20"/>
          <w:lang w:val="es-ES"/>
        </w:rPr>
        <w:t>**</w:t>
      </w:r>
      <w:r w:rsidR="00316A0E" w:rsidRPr="00316A0E">
        <w:rPr>
          <w:rFonts w:ascii="Arial" w:hAnsi="Arial" w:cs="Arial"/>
          <w:i/>
          <w:iCs/>
          <w:color w:val="202122"/>
          <w:sz w:val="21"/>
          <w:szCs w:val="21"/>
          <w:lang w:val="es-ES"/>
        </w:rPr>
        <w:t xml:space="preserve"> </w:t>
      </w:r>
      <w:r w:rsidR="00316A0E" w:rsidRPr="00316A0E">
        <w:rPr>
          <w:rFonts w:ascii="Arial" w:hAnsi="Arial" w:cs="Arial"/>
          <w:b/>
          <w:bCs/>
          <w:color w:val="202122"/>
          <w:sz w:val="21"/>
          <w:szCs w:val="21"/>
          <w:lang w:val="es-ES"/>
        </w:rPr>
        <w:t>Servicio de Emergencia Médica</w:t>
      </w:r>
      <w:r w:rsidRPr="00316A0E">
        <w:rPr>
          <w:rFonts w:asciiTheme="minorBidi" w:hAnsiTheme="minorBidi"/>
          <w:b/>
          <w:bCs/>
          <w:sz w:val="20"/>
          <w:szCs w:val="20"/>
          <w:lang w:val="es-ES"/>
        </w:rPr>
        <w:t>: –</w:t>
      </w:r>
      <w:r w:rsidRPr="002B5FF8">
        <w:rPr>
          <w:rFonts w:asciiTheme="minorBidi" w:hAnsiTheme="minorBidi"/>
          <w:b/>
          <w:bCs/>
          <w:sz w:val="20"/>
          <w:szCs w:val="20"/>
          <w:lang w:val="es-ES"/>
        </w:rPr>
        <w:t xml:space="preserve"> Evalúe la hipoglucemia, el ritmo cardíaco y comience el tratamiento de inmediato si el paciente está en crisis</w:t>
      </w:r>
      <w:r w:rsidRPr="00316A0E">
        <w:rPr>
          <w:rFonts w:asciiTheme="minorBidi" w:hAnsiTheme="minorBidi"/>
          <w:b/>
          <w:bCs/>
          <w:sz w:val="20"/>
          <w:szCs w:val="20"/>
          <w:lang w:val="es-ES"/>
        </w:rPr>
        <w:t>. Si es seguro para el paciente, transporte</w:t>
      </w:r>
      <w:r w:rsidRPr="002B5FF8">
        <w:rPr>
          <w:rFonts w:asciiTheme="minorBidi" w:hAnsiTheme="minorBidi"/>
          <w:b/>
          <w:bCs/>
          <w:sz w:val="20"/>
          <w:szCs w:val="20"/>
          <w:lang w:val="es-ES"/>
        </w:rPr>
        <w:t xml:space="preserve"> al paciente a un hospital que esté equipado para atender esta rara condición genética o al hospital de atención terciaria más cercano.</w:t>
      </w:r>
    </w:p>
    <w:p w14:paraId="2E1DCB0F" w14:textId="77777777" w:rsidR="002B5FF8" w:rsidRPr="00F71497" w:rsidRDefault="002B5FF8">
      <w:pPr>
        <w:rPr>
          <w:rFonts w:asciiTheme="minorBidi" w:hAnsiTheme="minorBidi"/>
          <w:b/>
          <w:bCs/>
          <w:sz w:val="20"/>
          <w:szCs w:val="20"/>
          <w:u w:val="single"/>
          <w:lang w:val="es-ES"/>
        </w:rPr>
      </w:pPr>
    </w:p>
    <w:p w14:paraId="0B136DF0" w14:textId="77777777" w:rsidR="001E4EFF" w:rsidRPr="00B079EB" w:rsidRDefault="001E4EFF" w:rsidP="001E4EFF">
      <w:pPr>
        <w:rPr>
          <w:rFonts w:asciiTheme="minorBidi" w:hAnsiTheme="minorBidi"/>
          <w:b/>
          <w:bCs/>
          <w:sz w:val="20"/>
          <w:szCs w:val="20"/>
          <w:u w:val="single"/>
          <w:lang w:val="es-ES"/>
        </w:rPr>
      </w:pPr>
      <w:r w:rsidRPr="00B079EB">
        <w:rPr>
          <w:rFonts w:asciiTheme="minorBidi" w:hAnsiTheme="minorBidi"/>
          <w:b/>
          <w:bCs/>
          <w:sz w:val="20"/>
          <w:szCs w:val="20"/>
          <w:u w:val="single"/>
          <w:lang w:val="es-ES"/>
        </w:rPr>
        <w:t>MÉDICO DE SALA DE URGENCIAS:</w:t>
      </w:r>
    </w:p>
    <w:p w14:paraId="036D592C" w14:textId="23825028" w:rsidR="001E4EFF" w:rsidRPr="00704709" w:rsidRDefault="001E4EFF" w:rsidP="00BD57E0">
      <w:pPr>
        <w:ind w:left="720"/>
        <w:rPr>
          <w:rFonts w:asciiTheme="minorBidi" w:hAnsiTheme="minorBidi"/>
          <w:sz w:val="20"/>
          <w:szCs w:val="20"/>
          <w:lang w:val="es-ES"/>
        </w:rPr>
      </w:pPr>
      <w:r w:rsidRPr="00704709">
        <w:rPr>
          <w:rFonts w:asciiTheme="minorBidi" w:hAnsiTheme="minorBidi"/>
          <w:sz w:val="20"/>
          <w:szCs w:val="20"/>
          <w:lang w:val="es-ES"/>
        </w:rPr>
        <w:t>[</w:t>
      </w:r>
      <w:r w:rsidR="00BD57E0" w:rsidRPr="00BD57E0">
        <w:rPr>
          <w:rFonts w:asciiTheme="minorBidi" w:hAnsiTheme="minorBidi"/>
          <w:sz w:val="20"/>
          <w:szCs w:val="20"/>
          <w:lang w:val="es-ES"/>
        </w:rPr>
        <w:t>AÑADIR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 NOMBRE] debe ser evaluado lo antes posible al llegar a la sala de emergencias, incluso si el paciente no parece estar enfermo, porque la hipoglucemia y las arritmias </w:t>
      </w:r>
      <w:r w:rsidR="00972A43">
        <w:rPr>
          <w:rFonts w:asciiTheme="minorBidi" w:hAnsiTheme="minorBidi"/>
          <w:sz w:val="20"/>
          <w:szCs w:val="20"/>
          <w:lang w:val="es-ES"/>
        </w:rPr>
        <w:t xml:space="preserve">cardiacas </w:t>
      </w:r>
      <w:r w:rsidRPr="00704709">
        <w:rPr>
          <w:rFonts w:asciiTheme="minorBidi" w:hAnsiTheme="minorBidi"/>
          <w:sz w:val="20"/>
          <w:szCs w:val="20"/>
          <w:lang w:val="es-ES"/>
        </w:rPr>
        <w:t>potencialmente mortales pueden progresar rápidamente.</w:t>
      </w:r>
    </w:p>
    <w:p w14:paraId="15029D51" w14:textId="77777777" w:rsidR="001E4EFF" w:rsidRPr="00704709" w:rsidRDefault="001E4EFF" w:rsidP="003B3376">
      <w:pPr>
        <w:rPr>
          <w:rFonts w:asciiTheme="minorBidi" w:hAnsiTheme="minorBidi"/>
          <w:sz w:val="20"/>
          <w:szCs w:val="20"/>
          <w:lang w:val="es-ES"/>
        </w:rPr>
      </w:pPr>
    </w:p>
    <w:p w14:paraId="79DC5FFA" w14:textId="63B50889" w:rsidR="00A703AB" w:rsidRDefault="00972A43" w:rsidP="003B3376">
      <w:pPr>
        <w:pStyle w:val="ListParagraph"/>
        <w:numPr>
          <w:ilvl w:val="0"/>
          <w:numId w:val="5"/>
        </w:numPr>
        <w:ind w:left="720"/>
        <w:rPr>
          <w:rFonts w:asciiTheme="minorBidi" w:hAnsiTheme="minorBidi"/>
          <w:color w:val="FF0000"/>
          <w:sz w:val="20"/>
          <w:szCs w:val="20"/>
          <w:lang w:val="es-ES"/>
        </w:rPr>
      </w:pPr>
      <w:r>
        <w:rPr>
          <w:rFonts w:asciiTheme="minorBidi" w:hAnsiTheme="minorBidi"/>
          <w:sz w:val="20"/>
          <w:szCs w:val="20"/>
          <w:lang w:val="es-ES"/>
        </w:rPr>
        <w:t>Análisis</w:t>
      </w:r>
      <w:r w:rsidR="001E4EFF" w:rsidRPr="006810C0">
        <w:rPr>
          <w:rFonts w:asciiTheme="minorBidi" w:hAnsiTheme="minorBidi"/>
          <w:sz w:val="20"/>
          <w:szCs w:val="20"/>
          <w:lang w:val="es-ES"/>
        </w:rPr>
        <w:t xml:space="preserve"> iniciales: </w:t>
      </w:r>
      <w:r w:rsidR="00FD4A54">
        <w:rPr>
          <w:rFonts w:asciiTheme="minorBidi" w:hAnsiTheme="minorBidi"/>
          <w:sz w:val="20"/>
          <w:szCs w:val="20"/>
          <w:lang w:val="es-ES"/>
        </w:rPr>
        <w:t xml:space="preserve">Nivel INMEDIATO de </w:t>
      </w:r>
      <w:r w:rsidR="001E4EFF" w:rsidRPr="00EC7493">
        <w:rPr>
          <w:rFonts w:asciiTheme="minorBidi" w:hAnsiTheme="minorBidi"/>
          <w:color w:val="000000" w:themeColor="text1"/>
          <w:sz w:val="20"/>
          <w:szCs w:val="20"/>
          <w:lang w:val="es-ES"/>
        </w:rPr>
        <w:t>glucosa por punción</w:t>
      </w:r>
      <w:r w:rsidR="00FD4A54" w:rsidRPr="00EC7493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 de dedo</w:t>
      </w:r>
      <w:r w:rsidR="001E4EFF" w:rsidRPr="00EC7493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, </w:t>
      </w:r>
      <w:r w:rsidR="001E4EFF" w:rsidRPr="006810C0">
        <w:rPr>
          <w:rFonts w:asciiTheme="minorBidi" w:hAnsiTheme="minorBidi"/>
          <w:sz w:val="20"/>
          <w:szCs w:val="20"/>
          <w:lang w:val="es-ES"/>
        </w:rPr>
        <w:t xml:space="preserve">nivel de CK, AST/ALT, lactato, gases en sangre venosa, </w:t>
      </w:r>
      <w:r w:rsidR="00D07DE2" w:rsidRPr="006C2A4D">
        <w:rPr>
          <w:rFonts w:asciiTheme="minorBidi" w:hAnsiTheme="minorBidi"/>
          <w:color w:val="000000" w:themeColor="text1"/>
          <w:sz w:val="20"/>
          <w:szCs w:val="20"/>
          <w:lang w:val="es-ES"/>
        </w:rPr>
        <w:t>análisis de electrolitos y función renal</w:t>
      </w:r>
      <w:r w:rsidR="006C2A4D" w:rsidRPr="006C2A4D">
        <w:rPr>
          <w:rFonts w:asciiTheme="minorBidi" w:hAnsiTheme="minorBidi"/>
          <w:color w:val="000000" w:themeColor="text1"/>
          <w:sz w:val="20"/>
          <w:szCs w:val="20"/>
          <w:lang w:val="es-ES"/>
        </w:rPr>
        <w:t>.</w:t>
      </w:r>
      <w:r w:rsidR="00D07DE2" w:rsidRPr="006C2A4D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 </w:t>
      </w:r>
    </w:p>
    <w:p w14:paraId="3B7B86D3" w14:textId="65958AC6" w:rsidR="00A703AB" w:rsidRPr="009450BD" w:rsidRDefault="00A703AB" w:rsidP="00A703AB">
      <w:pPr>
        <w:pStyle w:val="ListParagraph"/>
        <w:rPr>
          <w:rFonts w:asciiTheme="minorBidi" w:hAnsiTheme="minorBidi"/>
          <w:color w:val="FF0000"/>
          <w:sz w:val="20"/>
          <w:szCs w:val="20"/>
          <w:lang w:val="es-ES"/>
        </w:rPr>
      </w:pPr>
    </w:p>
    <w:p w14:paraId="2C1A43BF" w14:textId="2C7E9308" w:rsidR="00A703AB" w:rsidRPr="00793D61" w:rsidRDefault="001E4EFF" w:rsidP="00A703AB">
      <w:pPr>
        <w:pStyle w:val="ListParagraph"/>
        <w:numPr>
          <w:ilvl w:val="0"/>
          <w:numId w:val="5"/>
        </w:numPr>
        <w:ind w:left="720"/>
        <w:rPr>
          <w:rFonts w:asciiTheme="minorBidi" w:hAnsiTheme="minorBidi"/>
          <w:color w:val="000000" w:themeColor="text1"/>
          <w:sz w:val="20"/>
          <w:szCs w:val="20"/>
          <w:lang w:val="es-ES"/>
        </w:rPr>
      </w:pPr>
      <w:r w:rsidRPr="00793D61">
        <w:rPr>
          <w:rFonts w:asciiTheme="minorBidi" w:hAnsiTheme="minorBidi"/>
          <w:color w:val="000000" w:themeColor="text1"/>
          <w:sz w:val="20"/>
          <w:szCs w:val="20"/>
          <w:lang w:val="es-ES"/>
        </w:rPr>
        <w:t>Monitoreo del ritmo</w:t>
      </w:r>
      <w:r w:rsidR="00972A43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 cardiaco</w:t>
      </w:r>
      <w:r w:rsidRPr="00793D61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/ECG: coloque inmediatamente al paciente en monitoreo continuo del ritmo </w:t>
      </w:r>
      <w:r w:rsidR="003C726A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cardiaco </w:t>
      </w:r>
      <w:r w:rsidRPr="00793D61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y obtenga un ECG de </w:t>
      </w:r>
      <w:r w:rsidRPr="00E862C2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12 derivaciones. </w:t>
      </w:r>
      <w:r w:rsidRPr="00793D61">
        <w:rPr>
          <w:rFonts w:asciiTheme="minorBidi" w:hAnsiTheme="minorBidi"/>
          <w:color w:val="000000" w:themeColor="text1"/>
          <w:sz w:val="20"/>
          <w:szCs w:val="20"/>
          <w:lang w:val="es-ES"/>
        </w:rPr>
        <w:t>Si el paciente tiene un QTc prolongado (&gt; 450 mseg) o patrón de Brugada tipo 1, ingrese y obtenga un ecocardiograma para evaluar la función. Cualquier PVC o VT justifica atención médica inmediata y traslado a la unidad de cuidados intensivos.</w:t>
      </w:r>
    </w:p>
    <w:p w14:paraId="79E395CC" w14:textId="77777777" w:rsidR="000A1904" w:rsidRPr="00F71497" w:rsidRDefault="000A1904" w:rsidP="00EF1622">
      <w:pPr>
        <w:rPr>
          <w:rFonts w:asciiTheme="minorBidi" w:hAnsiTheme="minorBidi"/>
          <w:color w:val="000000" w:themeColor="text1"/>
          <w:sz w:val="20"/>
          <w:szCs w:val="20"/>
          <w:lang w:val="es-ES"/>
        </w:rPr>
      </w:pPr>
    </w:p>
    <w:p w14:paraId="46580C0B" w14:textId="0EDB54BA" w:rsidR="00A703AB" w:rsidRPr="002B61E1" w:rsidRDefault="001E4EFF" w:rsidP="002B61E1">
      <w:pPr>
        <w:pStyle w:val="ListParagraph"/>
        <w:numPr>
          <w:ilvl w:val="0"/>
          <w:numId w:val="5"/>
        </w:numPr>
        <w:ind w:left="720"/>
        <w:rPr>
          <w:rFonts w:asciiTheme="minorBidi" w:hAnsiTheme="minorBidi"/>
          <w:lang w:val="es-ES"/>
        </w:rPr>
      </w:pPr>
      <w:r w:rsidRPr="002B61E1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Después de </w:t>
      </w:r>
      <w:r w:rsidRPr="0052575A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enviar </w:t>
      </w:r>
      <w:r w:rsidR="0052575A" w:rsidRPr="0052575A">
        <w:rPr>
          <w:rFonts w:asciiTheme="minorBidi" w:hAnsiTheme="minorBidi"/>
          <w:color w:val="000000" w:themeColor="text1"/>
          <w:sz w:val="20"/>
          <w:szCs w:val="20"/>
          <w:lang w:val="es-ES"/>
        </w:rPr>
        <w:t>los análisis de sangre,</w:t>
      </w:r>
      <w:r w:rsidRPr="0052575A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 </w:t>
      </w:r>
      <w:r w:rsidRPr="002B61E1">
        <w:rPr>
          <w:rFonts w:asciiTheme="minorBidi" w:hAnsiTheme="minorBidi"/>
          <w:color w:val="000000" w:themeColor="text1"/>
          <w:sz w:val="20"/>
          <w:szCs w:val="20"/>
          <w:lang w:val="es-ES"/>
        </w:rPr>
        <w:t xml:space="preserve">evalúe cuidadosamente la capacidad del paciente para la ingesta </w:t>
      </w:r>
      <w:r w:rsidRPr="002B61E1">
        <w:rPr>
          <w:rFonts w:asciiTheme="minorBidi" w:hAnsiTheme="minorBidi"/>
          <w:sz w:val="20"/>
          <w:szCs w:val="20"/>
          <w:lang w:val="es-ES"/>
        </w:rPr>
        <w:t xml:space="preserve">nutricional. Si no es posible la ingesta oral completa, se debe considerar una sonda nasogástrica o </w:t>
      </w:r>
      <w:r w:rsidR="002B61E1" w:rsidRPr="002B61E1">
        <w:rPr>
          <w:rFonts w:asciiTheme="minorBidi" w:hAnsiTheme="minorBidi"/>
          <w:sz w:val="20"/>
          <w:szCs w:val="20"/>
          <w:lang w:val="es-ES"/>
        </w:rPr>
        <w:t>nutrición parenteral total</w:t>
      </w:r>
      <w:r w:rsidRPr="002B61E1">
        <w:rPr>
          <w:rFonts w:asciiTheme="minorBidi" w:hAnsiTheme="minorBidi"/>
          <w:sz w:val="20"/>
          <w:szCs w:val="20"/>
          <w:lang w:val="es-ES"/>
        </w:rPr>
        <w:t xml:space="preserve">. Inicie </w:t>
      </w:r>
      <w:r w:rsidRPr="0052575A">
        <w:rPr>
          <w:rFonts w:asciiTheme="minorBidi" w:hAnsiTheme="minorBidi"/>
          <w:color w:val="000000" w:themeColor="text1"/>
          <w:sz w:val="20"/>
          <w:szCs w:val="20"/>
          <w:lang w:val="es-ES"/>
        </w:rPr>
        <w:t>fluidos IV (D10 con electrolitos agregados apropiados para la edad) a una tasa de mantenimiento de 1x</w:t>
      </w:r>
      <w:r w:rsidRPr="002B61E1">
        <w:rPr>
          <w:rFonts w:asciiTheme="minorBidi" w:hAnsiTheme="minorBidi"/>
          <w:sz w:val="20"/>
          <w:szCs w:val="20"/>
          <w:lang w:val="es-ES"/>
        </w:rPr>
        <w:t xml:space="preserve">. Si el paciente está en crisis, considere agregar multivitamínicos intravenosos a los líquidos </w:t>
      </w:r>
      <w:r w:rsidR="00B80FE4" w:rsidRPr="003E431F">
        <w:rPr>
          <w:rFonts w:ascii="Helvetica" w:hAnsi="Helvetica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830DC" wp14:editId="6CF4D110">
                <wp:simplePos x="0" y="0"/>
                <wp:positionH relativeFrom="column">
                  <wp:posOffset>5096087</wp:posOffset>
                </wp:positionH>
                <wp:positionV relativeFrom="paragraph">
                  <wp:posOffset>0</wp:posOffset>
                </wp:positionV>
                <wp:extent cx="1673225" cy="174561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174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47F4E" w14:textId="77777777" w:rsidR="003B3376" w:rsidRPr="0091240B" w:rsidRDefault="003B3376" w:rsidP="003B337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5" w:color="auto"/>
                              </w:pBdr>
                              <w:rPr>
                                <w:rFonts w:ascii="Helvetica" w:hAnsi="Helvetica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5AD4AC46" w14:textId="77777777" w:rsidR="003B3376" w:rsidRPr="003E431F" w:rsidRDefault="003B3376" w:rsidP="003B337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5" w:color="auto"/>
                              </w:pBdr>
                              <w:rPr>
                                <w:rFonts w:ascii="Helvetica" w:hAnsi="Helvetica"/>
                                <w:bCs/>
                                <w:sz w:val="18"/>
                                <w:szCs w:val="18"/>
                              </w:rPr>
                            </w:pPr>
                            <w:r w:rsidRPr="003E73D5">
                              <w:rPr>
                                <w:noProof/>
                              </w:rPr>
                              <w:drawing>
                                <wp:inline distT="0" distB="0" distL="0" distR="0" wp14:anchorId="14F0C785" wp14:editId="7423030B">
                                  <wp:extent cx="1581150" cy="1581150"/>
                                  <wp:effectExtent l="0" t="0" r="0" b="0"/>
                                  <wp:docPr id="283213270" name="Picture 283213270" descr="C:\Users\axhoyosm\Downloads\qrcode_www.ncbi.nlm.nih.gov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xhoyosm\Downloads\qrcode_www.ncbi.nlm.nih.gov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830D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1.25pt;margin-top:0;width:131.75pt;height:1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" filled="f" stroked="f">
                <v:textbox>
                  <w:txbxContent>
                    <w:p w14:paraId="2C447F4E" w14:textId="77777777" w:rsidR="003B3376" w:rsidRPr="0091240B" w:rsidRDefault="003B3376" w:rsidP="003B337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5" w:color="auto"/>
                        </w:pBdr>
                        <w:rPr>
                          <w:rFonts w:ascii="Helvetica" w:hAnsi="Helvetica"/>
                          <w:bCs/>
                          <w:sz w:val="2"/>
                          <w:szCs w:val="2"/>
                        </w:rPr>
                      </w:pPr>
                    </w:p>
                    <w:p w14:paraId="5AD4AC46" w14:textId="77777777" w:rsidR="003B3376" w:rsidRPr="003E431F" w:rsidRDefault="003B3376" w:rsidP="003B337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5" w:color="auto"/>
                        </w:pBdr>
                        <w:rPr>
                          <w:rFonts w:ascii="Helvetica" w:hAnsi="Helvetica"/>
                          <w:bCs/>
                          <w:sz w:val="18"/>
                          <w:szCs w:val="18"/>
                        </w:rPr>
                      </w:pPr>
                      <w:r w:rsidRPr="003E73D5">
                        <w:rPr>
                          <w:noProof/>
                        </w:rPr>
                        <w:drawing>
                          <wp:inline distT="0" distB="0" distL="0" distR="0" wp14:anchorId="14F0C785" wp14:editId="7423030B">
                            <wp:extent cx="1581150" cy="1581150"/>
                            <wp:effectExtent l="0" t="0" r="0" b="0"/>
                            <wp:docPr id="283213270" name="Picture 283213270" descr="C:\Users\axhoyosm\Downloads\qrcode_www.ncbi.nlm.nih.gov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xhoyosm\Downloads\qrcode_www.ncbi.nlm.nih.gov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B61E1">
        <w:rPr>
          <w:rFonts w:asciiTheme="minorBidi" w:hAnsiTheme="minorBidi"/>
          <w:sz w:val="20"/>
          <w:szCs w:val="20"/>
          <w:lang w:val="es-ES"/>
        </w:rPr>
        <w:t>intravenosos (consulte las recomendaciones completas a través del código QR) hasta que se pueda iniciar la alimentación.</w:t>
      </w:r>
    </w:p>
    <w:p w14:paraId="275DFBE0" w14:textId="77777777" w:rsidR="00626021" w:rsidRPr="00F71497" w:rsidRDefault="00626021" w:rsidP="00971F34">
      <w:pPr>
        <w:rPr>
          <w:rFonts w:asciiTheme="minorBidi" w:hAnsiTheme="minorBidi"/>
          <w:color w:val="FF0000"/>
          <w:sz w:val="20"/>
          <w:szCs w:val="20"/>
          <w:lang w:val="es-ES"/>
        </w:rPr>
      </w:pPr>
    </w:p>
    <w:p w14:paraId="6E1CAE83" w14:textId="687EEF0A" w:rsidR="001E4EFF" w:rsidRPr="00D10A71" w:rsidRDefault="001E4EFF" w:rsidP="00D10A71">
      <w:pPr>
        <w:pStyle w:val="ListParagraph"/>
        <w:numPr>
          <w:ilvl w:val="0"/>
          <w:numId w:val="5"/>
        </w:numPr>
        <w:ind w:left="720"/>
        <w:rPr>
          <w:rFonts w:asciiTheme="minorBidi" w:hAnsiTheme="minorBidi"/>
          <w:color w:val="FF0000"/>
          <w:sz w:val="20"/>
          <w:szCs w:val="20"/>
          <w:lang w:val="es-ES"/>
        </w:rPr>
      </w:pPr>
      <w:r w:rsidRPr="00A703AB">
        <w:rPr>
          <w:rFonts w:asciiTheme="minorBidi" w:hAnsiTheme="minorBidi"/>
          <w:sz w:val="20"/>
          <w:szCs w:val="20"/>
          <w:lang w:val="es-ES"/>
        </w:rPr>
        <w:t>Debido al alto riesgo o mortalidad de los pacientes en crisis y la necesidad de prevenir la progresión a crisis cardíacas, recomendamos revisar los detalles completos para el manejo disponibles en GeneReviews (https://www.ncbi.nlm.nih.gov/books/NBK476443/ ) durante las crisis relacionadas con TANGO2. También puede acceder escaneando el siguiente código QR:</w:t>
      </w:r>
    </w:p>
    <w:p w14:paraId="29988B38" w14:textId="77777777" w:rsidR="00D10A71" w:rsidRPr="00D10A71" w:rsidRDefault="00D10A71" w:rsidP="00D10A71">
      <w:pPr>
        <w:pStyle w:val="ListParagraph"/>
        <w:rPr>
          <w:rFonts w:asciiTheme="minorBidi" w:hAnsiTheme="minorBidi"/>
          <w:color w:val="FF0000"/>
          <w:sz w:val="20"/>
          <w:szCs w:val="20"/>
          <w:lang w:val="es-ES"/>
        </w:rPr>
      </w:pPr>
    </w:p>
    <w:p w14:paraId="17BA5B46" w14:textId="371EBA60" w:rsidR="001E4EFF" w:rsidRPr="00704709" w:rsidRDefault="001E4EFF" w:rsidP="001E4EFF">
      <w:pPr>
        <w:rPr>
          <w:rFonts w:asciiTheme="minorBidi" w:hAnsiTheme="minorBidi"/>
          <w:sz w:val="20"/>
          <w:szCs w:val="20"/>
          <w:lang w:val="es-ES"/>
        </w:rPr>
      </w:pPr>
      <w:r w:rsidRPr="00704709">
        <w:rPr>
          <w:rFonts w:asciiTheme="minorBidi" w:hAnsiTheme="minorBidi"/>
          <w:sz w:val="20"/>
          <w:szCs w:val="20"/>
          <w:lang w:val="es-ES"/>
        </w:rPr>
        <w:t xml:space="preserve">También recomendamos ponerse en contacto con su experto local en Trastorno </w:t>
      </w:r>
      <w:r w:rsidR="00243070">
        <w:rPr>
          <w:rFonts w:asciiTheme="minorBidi" w:hAnsiTheme="minorBidi"/>
          <w:sz w:val="20"/>
          <w:szCs w:val="20"/>
          <w:lang w:val="es-ES"/>
        </w:rPr>
        <w:t xml:space="preserve">de 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TANGO2 y llamar </w:t>
      </w:r>
      <w:r w:rsidR="00625D16">
        <w:rPr>
          <w:rFonts w:asciiTheme="minorBidi" w:hAnsiTheme="minorBidi"/>
          <w:sz w:val="20"/>
          <w:szCs w:val="20"/>
          <w:lang w:val="es-ES"/>
        </w:rPr>
        <w:t xml:space="preserve">al </w:t>
      </w:r>
      <w:r w:rsidRPr="00704709">
        <w:rPr>
          <w:rFonts w:asciiTheme="minorBidi" w:hAnsiTheme="minorBidi"/>
          <w:sz w:val="20"/>
          <w:szCs w:val="20"/>
          <w:lang w:val="es-ES"/>
        </w:rPr>
        <w:t>servicio de genética/</w:t>
      </w:r>
      <w:r w:rsidR="00B80FE4" w:rsidRPr="00704709">
        <w:rPr>
          <w:rFonts w:asciiTheme="minorBidi" w:hAnsiTheme="minorBidi"/>
          <w:sz w:val="20"/>
          <w:szCs w:val="20"/>
          <w:lang w:val="es-ES"/>
        </w:rPr>
        <w:t>metaboli</w:t>
      </w:r>
      <w:r w:rsidR="00B80FE4">
        <w:rPr>
          <w:rFonts w:asciiTheme="minorBidi" w:hAnsiTheme="minorBidi"/>
          <w:sz w:val="20"/>
          <w:szCs w:val="20"/>
          <w:lang w:val="es-ES"/>
        </w:rPr>
        <w:t>smo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 para informarles de la </w:t>
      </w:r>
      <w:r w:rsidR="00632C95">
        <w:rPr>
          <w:rFonts w:asciiTheme="minorBidi" w:hAnsiTheme="minorBidi"/>
          <w:sz w:val="20"/>
          <w:szCs w:val="20"/>
          <w:lang w:val="es-ES"/>
        </w:rPr>
        <w:t xml:space="preserve">visita a 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sala de emergencias o la admisión en el hospital. También </w:t>
      </w:r>
      <w:r w:rsidR="00753DA9">
        <w:rPr>
          <w:rFonts w:asciiTheme="minorBidi" w:hAnsiTheme="minorBidi"/>
          <w:sz w:val="20"/>
          <w:szCs w:val="20"/>
          <w:lang w:val="es-ES"/>
        </w:rPr>
        <w:t xml:space="preserve">una llamada 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para el servicio de cardiología/electrofisiología </w:t>
      </w:r>
      <w:r w:rsidR="00753DA9">
        <w:rPr>
          <w:rFonts w:asciiTheme="minorBidi" w:hAnsiTheme="minorBidi"/>
          <w:sz w:val="20"/>
          <w:szCs w:val="20"/>
          <w:lang w:val="es-ES"/>
        </w:rPr>
        <w:t>es aconsejable en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 todas las admisiones</w:t>
      </w:r>
      <w:r w:rsidR="00A036AC">
        <w:rPr>
          <w:rFonts w:asciiTheme="minorBidi" w:hAnsiTheme="minorBidi"/>
          <w:sz w:val="20"/>
          <w:szCs w:val="20"/>
          <w:lang w:val="es-ES"/>
        </w:rPr>
        <w:t xml:space="preserve"> en el hospital</w:t>
      </w:r>
      <w:r w:rsidRPr="00704709">
        <w:rPr>
          <w:rFonts w:asciiTheme="minorBidi" w:hAnsiTheme="minorBidi"/>
          <w:sz w:val="20"/>
          <w:szCs w:val="20"/>
          <w:lang w:val="es-ES"/>
        </w:rPr>
        <w:t xml:space="preserve">. </w:t>
      </w:r>
      <w:r w:rsidR="00CF3DC9" w:rsidRPr="00CF3DC9">
        <w:rPr>
          <w:rFonts w:asciiTheme="minorBidi" w:hAnsiTheme="minorBidi"/>
          <w:sz w:val="20"/>
          <w:szCs w:val="20"/>
        </w:rPr>
        <w:t>Si no hay experiencia local disponible, puede solicitar asistencia de colega a colega comunicándose con la línea directa de consulta clínica de TANGO2 al +1 (860) 598-0955. Este recurso internacional está disponible las 24 horas, los 7 días de la semana</w:t>
      </w:r>
    </w:p>
    <w:p w14:paraId="70C9577E" w14:textId="77777777" w:rsidR="008225BD" w:rsidRDefault="008225BD" w:rsidP="001E4EFF">
      <w:pPr>
        <w:rPr>
          <w:rFonts w:asciiTheme="minorBidi" w:hAnsiTheme="minorBidi"/>
          <w:sz w:val="20"/>
          <w:szCs w:val="20"/>
          <w:lang w:val="es-ES"/>
        </w:rPr>
      </w:pPr>
    </w:p>
    <w:p w14:paraId="3DF58A65" w14:textId="0F84B2BB" w:rsidR="001E4EFF" w:rsidRPr="00857089" w:rsidRDefault="001E4EFF" w:rsidP="001E4EFF">
      <w:pPr>
        <w:rPr>
          <w:rFonts w:asciiTheme="minorBidi" w:hAnsiTheme="minorBidi"/>
          <w:b/>
          <w:bCs/>
          <w:sz w:val="20"/>
          <w:szCs w:val="20"/>
          <w:lang w:val="es-ES"/>
        </w:rPr>
      </w:pPr>
      <w:r w:rsidRPr="00857089">
        <w:rPr>
          <w:rFonts w:asciiTheme="minorBidi" w:hAnsiTheme="minorBidi"/>
          <w:b/>
          <w:bCs/>
          <w:sz w:val="20"/>
          <w:szCs w:val="20"/>
          <w:lang w:val="es-ES"/>
        </w:rPr>
        <w:t>Reconociendo el patrón de Brugada</w:t>
      </w:r>
    </w:p>
    <w:p w14:paraId="0FCB1817" w14:textId="0DEF6B1A" w:rsidR="001E4EFF" w:rsidRDefault="001E4EFF" w:rsidP="001E4EFF">
      <w:pPr>
        <w:rPr>
          <w:rFonts w:asciiTheme="minorBidi" w:hAnsiTheme="minorBidi"/>
          <w:sz w:val="20"/>
          <w:szCs w:val="20"/>
          <w:lang w:val="es-ES"/>
        </w:rPr>
      </w:pPr>
      <w:r w:rsidRPr="00704709">
        <w:rPr>
          <w:rFonts w:asciiTheme="minorBidi" w:hAnsiTheme="minorBidi"/>
          <w:sz w:val="20"/>
          <w:szCs w:val="20"/>
          <w:lang w:val="es-ES"/>
        </w:rPr>
        <w:t>Un ejemplo de patrón de Brugada tipo 1 (en un ECG estándar de 12 derivaciones) demuestra una elevación del ST anterior (V1 y V2) con inversión de la onda T:</w:t>
      </w:r>
    </w:p>
    <w:p w14:paraId="23AB52F5" w14:textId="77777777" w:rsidR="000B799A" w:rsidRDefault="000B799A" w:rsidP="001E4EFF">
      <w:pPr>
        <w:rPr>
          <w:rFonts w:asciiTheme="minorBidi" w:hAnsiTheme="minorBidi"/>
          <w:sz w:val="20"/>
          <w:szCs w:val="20"/>
          <w:lang w:val="es-ES"/>
        </w:rPr>
      </w:pPr>
    </w:p>
    <w:p w14:paraId="554FDF8E" w14:textId="77777777" w:rsidR="001E4EFF" w:rsidRPr="00857089" w:rsidRDefault="001E4EFF">
      <w:pPr>
        <w:rPr>
          <w:rFonts w:asciiTheme="minorBidi" w:hAnsiTheme="minorBidi"/>
          <w:sz w:val="20"/>
          <w:szCs w:val="20"/>
        </w:rPr>
      </w:pPr>
    </w:p>
    <w:p w14:paraId="7AAAF72B" w14:textId="46E49727" w:rsidR="001E4EFF" w:rsidRPr="00704709" w:rsidRDefault="005B04B0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781B1" wp14:editId="1896ABE4">
                <wp:simplePos x="0" y="0"/>
                <wp:positionH relativeFrom="column">
                  <wp:posOffset>4607168</wp:posOffset>
                </wp:positionH>
                <wp:positionV relativeFrom="paragraph">
                  <wp:posOffset>67687</wp:posOffset>
                </wp:positionV>
                <wp:extent cx="1788607" cy="291402"/>
                <wp:effectExtent l="0" t="0" r="15240" b="13970"/>
                <wp:wrapNone/>
                <wp:docPr id="1866535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607" cy="29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F9F3E06" w14:textId="68166D44" w:rsidR="005B04B0" w:rsidRPr="005B04B0" w:rsidRDefault="005B04B0">
                            <w:pPr>
                              <w:rPr>
                                <w:color w:val="000000" w:themeColor="text1"/>
                              </w:rPr>
                            </w:pPr>
                            <w:r w:rsidRPr="005B04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Patrón de Brugada tipo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781B1" id="Text Box 1" o:spid="_x0000_s1027" type="#_x0000_t202" style="position:absolute;margin-left:362.75pt;margin-top:5.35pt;width:140.85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" fillcolor="white [3201]" strokecolor="black [3213]" strokeweight=".5pt">
                <v:textbox>
                  <w:txbxContent>
                    <w:p w14:paraId="0F9F3E06" w14:textId="68166D44" w:rsidR="005B04B0" w:rsidRPr="005B04B0" w:rsidRDefault="005B04B0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5B04B0">
                        <w:rPr>
                          <w:color w:val="000000" w:themeColor="text1"/>
                          <w:sz w:val="20"/>
                          <w:szCs w:val="20"/>
                        </w:rPr>
                        <w:t>Patrón</w:t>
                      </w:r>
                      <w:proofErr w:type="spellEnd"/>
                      <w:r w:rsidRPr="005B04B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B04B0">
                        <w:rPr>
                          <w:color w:val="000000" w:themeColor="text1"/>
                          <w:sz w:val="20"/>
                          <w:szCs w:val="20"/>
                        </w:rPr>
                        <w:t>Brugada</w:t>
                      </w:r>
                      <w:proofErr w:type="spellEnd"/>
                      <w:r w:rsidRPr="005B04B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B04B0">
                        <w:rPr>
                          <w:color w:val="000000" w:themeColor="text1"/>
                          <w:sz w:val="20"/>
                          <w:szCs w:val="20"/>
                        </w:rPr>
                        <w:t>tipo</w:t>
                      </w:r>
                      <w:proofErr w:type="spellEnd"/>
                      <w:r w:rsidRPr="005B04B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1E4EFF" w:rsidRPr="00704709">
        <w:rPr>
          <w:rFonts w:asciiTheme="minorBidi" w:hAnsiTheme="minorBidi"/>
          <w:noProof/>
          <w:sz w:val="20"/>
          <w:szCs w:val="20"/>
        </w:rPr>
        <w:drawing>
          <wp:inline distT="0" distB="0" distL="0" distR="0" wp14:anchorId="2593ACA9" wp14:editId="2D5391A2">
            <wp:extent cx="5424410" cy="292761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ugada pattern.pdf"/>
                    <pic:cNvPicPr/>
                  </pic:nvPicPr>
                  <pic:blipFill rotWithShape="1">
                    <a:blip r:embed="rId7"/>
                    <a:srcRect l="10309" t="14940" r="10588" b="9163"/>
                    <a:stretch/>
                  </pic:blipFill>
                  <pic:spPr bwMode="auto">
                    <a:xfrm>
                      <a:off x="0" y="0"/>
                      <a:ext cx="5424868" cy="2927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4EFF" w:rsidRPr="00704709" w:rsidSect="00CF44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244F0"/>
    <w:multiLevelType w:val="hybridMultilevel"/>
    <w:tmpl w:val="C322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B20B5"/>
    <w:multiLevelType w:val="hybridMultilevel"/>
    <w:tmpl w:val="33FA8CE0"/>
    <w:lvl w:ilvl="0" w:tplc="781EAE40">
      <w:start w:val="1"/>
      <w:numFmt w:val="decimal"/>
      <w:lvlText w:val="%1."/>
      <w:lvlJc w:val="left"/>
      <w:pPr>
        <w:ind w:left="720" w:hanging="360"/>
      </w:pPr>
      <w:rPr>
        <w:rFonts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37512B"/>
    <w:multiLevelType w:val="hybridMultilevel"/>
    <w:tmpl w:val="EAE4CBB0"/>
    <w:lvl w:ilvl="0" w:tplc="D512AF6A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A019BD"/>
    <w:multiLevelType w:val="hybridMultilevel"/>
    <w:tmpl w:val="248ECA5C"/>
    <w:lvl w:ilvl="0" w:tplc="DC80C9E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E4330E"/>
    <w:multiLevelType w:val="hybridMultilevel"/>
    <w:tmpl w:val="5A04BD9E"/>
    <w:lvl w:ilvl="0" w:tplc="4EFC83F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217DE1"/>
    <w:multiLevelType w:val="hybridMultilevel"/>
    <w:tmpl w:val="D376D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893771">
    <w:abstractNumId w:val="5"/>
  </w:num>
  <w:num w:numId="2" w16cid:durableId="1939873594">
    <w:abstractNumId w:val="4"/>
  </w:num>
  <w:num w:numId="3" w16cid:durableId="1582182477">
    <w:abstractNumId w:val="0"/>
  </w:num>
  <w:num w:numId="4" w16cid:durableId="76750515">
    <w:abstractNumId w:val="1"/>
  </w:num>
  <w:num w:numId="5" w16cid:durableId="295573697">
    <w:abstractNumId w:val="2"/>
  </w:num>
  <w:num w:numId="6" w16cid:durableId="1607081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FF"/>
    <w:rsid w:val="0000606E"/>
    <w:rsid w:val="00025A7D"/>
    <w:rsid w:val="00034076"/>
    <w:rsid w:val="00034F81"/>
    <w:rsid w:val="0005224D"/>
    <w:rsid w:val="0005743C"/>
    <w:rsid w:val="0008686B"/>
    <w:rsid w:val="00086D02"/>
    <w:rsid w:val="0009399C"/>
    <w:rsid w:val="000953BE"/>
    <w:rsid w:val="000A1904"/>
    <w:rsid w:val="000B799A"/>
    <w:rsid w:val="000C0C28"/>
    <w:rsid w:val="000C0DA9"/>
    <w:rsid w:val="000E1BED"/>
    <w:rsid w:val="000F7A81"/>
    <w:rsid w:val="00105840"/>
    <w:rsid w:val="00137D93"/>
    <w:rsid w:val="00144E6E"/>
    <w:rsid w:val="001804F7"/>
    <w:rsid w:val="00187323"/>
    <w:rsid w:val="00191C7A"/>
    <w:rsid w:val="001965B3"/>
    <w:rsid w:val="001B76C1"/>
    <w:rsid w:val="001E4EFF"/>
    <w:rsid w:val="002137C4"/>
    <w:rsid w:val="0023727B"/>
    <w:rsid w:val="00243070"/>
    <w:rsid w:val="00245CB8"/>
    <w:rsid w:val="00245F46"/>
    <w:rsid w:val="0025397A"/>
    <w:rsid w:val="00283717"/>
    <w:rsid w:val="00293A7C"/>
    <w:rsid w:val="002A3A88"/>
    <w:rsid w:val="002A74AC"/>
    <w:rsid w:val="002A7C16"/>
    <w:rsid w:val="002B29EA"/>
    <w:rsid w:val="002B51BF"/>
    <w:rsid w:val="002B5FF8"/>
    <w:rsid w:val="002B61E1"/>
    <w:rsid w:val="002C288C"/>
    <w:rsid w:val="002C3EED"/>
    <w:rsid w:val="002C61A5"/>
    <w:rsid w:val="002F23F6"/>
    <w:rsid w:val="00300C3B"/>
    <w:rsid w:val="00316A0E"/>
    <w:rsid w:val="003556AF"/>
    <w:rsid w:val="00364645"/>
    <w:rsid w:val="003B0BAE"/>
    <w:rsid w:val="003B3376"/>
    <w:rsid w:val="003C312E"/>
    <w:rsid w:val="003C34C7"/>
    <w:rsid w:val="003C6E6B"/>
    <w:rsid w:val="003C726A"/>
    <w:rsid w:val="003E3CFB"/>
    <w:rsid w:val="003E5992"/>
    <w:rsid w:val="003E5F84"/>
    <w:rsid w:val="003F68C8"/>
    <w:rsid w:val="00401DBA"/>
    <w:rsid w:val="00404B2C"/>
    <w:rsid w:val="00412EB7"/>
    <w:rsid w:val="00413612"/>
    <w:rsid w:val="00464452"/>
    <w:rsid w:val="00477001"/>
    <w:rsid w:val="00484DFF"/>
    <w:rsid w:val="004A016F"/>
    <w:rsid w:val="004A1BF6"/>
    <w:rsid w:val="004A2EAE"/>
    <w:rsid w:val="004B00F5"/>
    <w:rsid w:val="004E455F"/>
    <w:rsid w:val="004F298C"/>
    <w:rsid w:val="00501B30"/>
    <w:rsid w:val="00512313"/>
    <w:rsid w:val="00517560"/>
    <w:rsid w:val="0052575A"/>
    <w:rsid w:val="00530D9C"/>
    <w:rsid w:val="0054285F"/>
    <w:rsid w:val="00563AF0"/>
    <w:rsid w:val="00584E96"/>
    <w:rsid w:val="005B04B0"/>
    <w:rsid w:val="005C5BFC"/>
    <w:rsid w:val="005D2ED1"/>
    <w:rsid w:val="005D417B"/>
    <w:rsid w:val="005D43FF"/>
    <w:rsid w:val="005E7430"/>
    <w:rsid w:val="006101E5"/>
    <w:rsid w:val="0062498B"/>
    <w:rsid w:val="00625D16"/>
    <w:rsid w:val="00626021"/>
    <w:rsid w:val="00632C95"/>
    <w:rsid w:val="006334A5"/>
    <w:rsid w:val="006336D1"/>
    <w:rsid w:val="0064153A"/>
    <w:rsid w:val="00641C9B"/>
    <w:rsid w:val="00655D52"/>
    <w:rsid w:val="00657E0F"/>
    <w:rsid w:val="00661C75"/>
    <w:rsid w:val="006810C0"/>
    <w:rsid w:val="00683638"/>
    <w:rsid w:val="0069266D"/>
    <w:rsid w:val="006963A3"/>
    <w:rsid w:val="006A3490"/>
    <w:rsid w:val="006B12CB"/>
    <w:rsid w:val="006B4157"/>
    <w:rsid w:val="006C2A4D"/>
    <w:rsid w:val="006C58E6"/>
    <w:rsid w:val="006D5ED7"/>
    <w:rsid w:val="006E0D2C"/>
    <w:rsid w:val="007026B1"/>
    <w:rsid w:val="00704709"/>
    <w:rsid w:val="007117E6"/>
    <w:rsid w:val="00711FF3"/>
    <w:rsid w:val="0071354A"/>
    <w:rsid w:val="007155DC"/>
    <w:rsid w:val="00722C41"/>
    <w:rsid w:val="00730DD0"/>
    <w:rsid w:val="00753DA9"/>
    <w:rsid w:val="00756087"/>
    <w:rsid w:val="0076476F"/>
    <w:rsid w:val="00791061"/>
    <w:rsid w:val="007929DB"/>
    <w:rsid w:val="00793D61"/>
    <w:rsid w:val="007D29AD"/>
    <w:rsid w:val="007E0B51"/>
    <w:rsid w:val="007E50CB"/>
    <w:rsid w:val="007F41EF"/>
    <w:rsid w:val="008076DC"/>
    <w:rsid w:val="00812768"/>
    <w:rsid w:val="00812EBC"/>
    <w:rsid w:val="008225BD"/>
    <w:rsid w:val="008279D9"/>
    <w:rsid w:val="00831FCB"/>
    <w:rsid w:val="00855F59"/>
    <w:rsid w:val="00857089"/>
    <w:rsid w:val="00862608"/>
    <w:rsid w:val="00880EC7"/>
    <w:rsid w:val="00884800"/>
    <w:rsid w:val="00886871"/>
    <w:rsid w:val="008946DA"/>
    <w:rsid w:val="008A2A81"/>
    <w:rsid w:val="008B3A29"/>
    <w:rsid w:val="008D5A96"/>
    <w:rsid w:val="008E3ACC"/>
    <w:rsid w:val="008E53E0"/>
    <w:rsid w:val="00905772"/>
    <w:rsid w:val="00930855"/>
    <w:rsid w:val="00937DCC"/>
    <w:rsid w:val="009450BD"/>
    <w:rsid w:val="009474E7"/>
    <w:rsid w:val="00954C5D"/>
    <w:rsid w:val="00957DE1"/>
    <w:rsid w:val="00962842"/>
    <w:rsid w:val="00963B1D"/>
    <w:rsid w:val="00971F34"/>
    <w:rsid w:val="00972A43"/>
    <w:rsid w:val="00976710"/>
    <w:rsid w:val="00984112"/>
    <w:rsid w:val="009A023A"/>
    <w:rsid w:val="009A2EF6"/>
    <w:rsid w:val="009B138F"/>
    <w:rsid w:val="009B6C6F"/>
    <w:rsid w:val="009C2BA9"/>
    <w:rsid w:val="009D33D3"/>
    <w:rsid w:val="009D36B9"/>
    <w:rsid w:val="009F3F12"/>
    <w:rsid w:val="00A036AC"/>
    <w:rsid w:val="00A405D1"/>
    <w:rsid w:val="00A56050"/>
    <w:rsid w:val="00A61FD0"/>
    <w:rsid w:val="00A6525E"/>
    <w:rsid w:val="00A67E25"/>
    <w:rsid w:val="00A703AB"/>
    <w:rsid w:val="00A7763E"/>
    <w:rsid w:val="00A776C6"/>
    <w:rsid w:val="00A86D73"/>
    <w:rsid w:val="00A941D9"/>
    <w:rsid w:val="00AA3FB6"/>
    <w:rsid w:val="00AB0D1C"/>
    <w:rsid w:val="00AD1C2E"/>
    <w:rsid w:val="00AD2495"/>
    <w:rsid w:val="00AF1208"/>
    <w:rsid w:val="00AF3C06"/>
    <w:rsid w:val="00B03237"/>
    <w:rsid w:val="00B079EB"/>
    <w:rsid w:val="00B103D5"/>
    <w:rsid w:val="00B10A3C"/>
    <w:rsid w:val="00B40DC0"/>
    <w:rsid w:val="00B53078"/>
    <w:rsid w:val="00B80FE4"/>
    <w:rsid w:val="00B84A80"/>
    <w:rsid w:val="00B90337"/>
    <w:rsid w:val="00BC1F4D"/>
    <w:rsid w:val="00BC2448"/>
    <w:rsid w:val="00BD568C"/>
    <w:rsid w:val="00BD57E0"/>
    <w:rsid w:val="00BD69D9"/>
    <w:rsid w:val="00BE0235"/>
    <w:rsid w:val="00BE751B"/>
    <w:rsid w:val="00C03A9F"/>
    <w:rsid w:val="00C071DE"/>
    <w:rsid w:val="00C10269"/>
    <w:rsid w:val="00C14A17"/>
    <w:rsid w:val="00C2040E"/>
    <w:rsid w:val="00C50D1B"/>
    <w:rsid w:val="00C82748"/>
    <w:rsid w:val="00C83D80"/>
    <w:rsid w:val="00CA0949"/>
    <w:rsid w:val="00CA34BD"/>
    <w:rsid w:val="00CA651E"/>
    <w:rsid w:val="00CE724E"/>
    <w:rsid w:val="00CF1B92"/>
    <w:rsid w:val="00CF3DC9"/>
    <w:rsid w:val="00CF442A"/>
    <w:rsid w:val="00D07DE2"/>
    <w:rsid w:val="00D103A5"/>
    <w:rsid w:val="00D10821"/>
    <w:rsid w:val="00D10A71"/>
    <w:rsid w:val="00D410CA"/>
    <w:rsid w:val="00D53838"/>
    <w:rsid w:val="00D54185"/>
    <w:rsid w:val="00D6120C"/>
    <w:rsid w:val="00D729EF"/>
    <w:rsid w:val="00D841F3"/>
    <w:rsid w:val="00D87CFE"/>
    <w:rsid w:val="00DA2E7B"/>
    <w:rsid w:val="00DB0EA5"/>
    <w:rsid w:val="00DB359E"/>
    <w:rsid w:val="00DC237E"/>
    <w:rsid w:val="00DC36A2"/>
    <w:rsid w:val="00DE2CE3"/>
    <w:rsid w:val="00DE6799"/>
    <w:rsid w:val="00DF3843"/>
    <w:rsid w:val="00DF3ADB"/>
    <w:rsid w:val="00E038C2"/>
    <w:rsid w:val="00E21CB2"/>
    <w:rsid w:val="00E238AA"/>
    <w:rsid w:val="00E30917"/>
    <w:rsid w:val="00E42CB2"/>
    <w:rsid w:val="00E4538C"/>
    <w:rsid w:val="00E47F05"/>
    <w:rsid w:val="00E64682"/>
    <w:rsid w:val="00E76DEB"/>
    <w:rsid w:val="00E862C2"/>
    <w:rsid w:val="00E86541"/>
    <w:rsid w:val="00E901D3"/>
    <w:rsid w:val="00E92CEE"/>
    <w:rsid w:val="00E96487"/>
    <w:rsid w:val="00EA42F0"/>
    <w:rsid w:val="00EC7493"/>
    <w:rsid w:val="00EE1FD7"/>
    <w:rsid w:val="00EE3B13"/>
    <w:rsid w:val="00EF1622"/>
    <w:rsid w:val="00F10B51"/>
    <w:rsid w:val="00F111E9"/>
    <w:rsid w:val="00F14BAC"/>
    <w:rsid w:val="00F511F0"/>
    <w:rsid w:val="00F71497"/>
    <w:rsid w:val="00F75442"/>
    <w:rsid w:val="00F90C91"/>
    <w:rsid w:val="00FB7410"/>
    <w:rsid w:val="00FC2FF0"/>
    <w:rsid w:val="00FC6779"/>
    <w:rsid w:val="00FD4A54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35AB"/>
  <w15:chartTrackingRefBased/>
  <w15:docId w15:val="{90003604-BEB7-184C-AD4C-1570C3DC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B2C"/>
    <w:pPr>
      <w:ind w:left="720"/>
      <w:contextualSpacing/>
    </w:pPr>
  </w:style>
  <w:style w:type="paragraph" w:customStyle="1" w:styleId="halfrhythm">
    <w:name w:val="half_rhythm"/>
    <w:basedOn w:val="Normal"/>
    <w:rsid w:val="00A560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61E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61E1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03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1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3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3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3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Lina</dc:creator>
  <cp:keywords/>
  <dc:description/>
  <cp:lastModifiedBy>Deena Chisholm</cp:lastModifiedBy>
  <cp:revision>2</cp:revision>
  <cp:lastPrinted>2023-06-12T14:55:00Z</cp:lastPrinted>
  <dcterms:created xsi:type="dcterms:W3CDTF">2025-09-03T14:44:00Z</dcterms:created>
  <dcterms:modified xsi:type="dcterms:W3CDTF">2025-09-03T14:44:00Z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2023-06-08T17:16:28Z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e996e2a7-7ed5-4b11-a1dc-da1682041fd3</vt:lpwstr>
  </property>
  <property fmtid="{D5CDD505-2E9C-101B-9397-08002B2CF9AE}" pid="8" name="MSIP_Label_5e4b1be8-281e-475d-98b0-21c3457e5a46_ContentBits">
    <vt:lpwstr>0</vt:lpwstr>
  </property>
</Properties>
</file>